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17859" w14:textId="77777777" w:rsidR="00896BD9" w:rsidRDefault="003642FB" w:rsidP="003642FB">
      <w:pPr>
        <w:rPr>
          <w:noProof/>
          <w:sz w:val="28"/>
          <w:szCs w:val="28"/>
        </w:rPr>
      </w:pPr>
      <w:r>
        <w:rPr>
          <w:noProof/>
          <w:sz w:val="28"/>
          <w:szCs w:val="28"/>
        </w:rPr>
        <w:drawing>
          <wp:anchor distT="0" distB="0" distL="114300" distR="114300" simplePos="0" relativeHeight="251659264" behindDoc="1" locked="0" layoutInCell="1" allowOverlap="1" wp14:anchorId="73B12351" wp14:editId="6DA4D1F9">
            <wp:simplePos x="0" y="0"/>
            <wp:positionH relativeFrom="column">
              <wp:posOffset>7091884</wp:posOffset>
            </wp:positionH>
            <wp:positionV relativeFrom="paragraph">
              <wp:posOffset>12</wp:posOffset>
            </wp:positionV>
            <wp:extent cx="1133475" cy="285750"/>
            <wp:effectExtent l="0" t="0" r="9525" b="0"/>
            <wp:wrapThrough wrapText="bothSides">
              <wp:wrapPolygon edited="0">
                <wp:start x="0" y="0"/>
                <wp:lineTo x="0" y="20160"/>
                <wp:lineTo x="21418" y="20160"/>
                <wp:lineTo x="21418" y="0"/>
                <wp:lineTo x="0" y="0"/>
              </wp:wrapPolygon>
            </wp:wrapThrough>
            <wp:docPr id="1" name="Picture 1"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rizonta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6BD9">
        <w:rPr>
          <w:rFonts w:ascii="Calibri" w:hAnsi="Calibri" w:cs="Calibri"/>
          <w:b/>
          <w:color w:val="2F5496" w:themeColor="accent5" w:themeShade="BF"/>
          <w:sz w:val="28"/>
          <w:szCs w:val="28"/>
        </w:rPr>
        <w:t>Program-Level Assessment</w:t>
      </w:r>
      <w:r>
        <w:rPr>
          <w:rFonts w:ascii="Calibri" w:hAnsi="Calibri" w:cs="Calibri"/>
          <w:b/>
          <w:color w:val="2F5496" w:themeColor="accent5" w:themeShade="BF"/>
          <w:sz w:val="28"/>
          <w:szCs w:val="28"/>
        </w:rPr>
        <w:t xml:space="preserve"> Report Feedback Form</w:t>
      </w:r>
      <w:r>
        <w:rPr>
          <w:noProof/>
          <w:sz w:val="28"/>
          <w:szCs w:val="28"/>
        </w:rPr>
        <w:t xml:space="preserve"> </w:t>
      </w:r>
    </w:p>
    <w:p w14:paraId="6C62B5E3" w14:textId="77777777" w:rsidR="003642FB" w:rsidRDefault="003642FB" w:rsidP="003642FB"/>
    <w:tbl>
      <w:tblPr>
        <w:tblStyle w:val="TableGrid1"/>
        <w:tblW w:w="14305" w:type="dxa"/>
        <w:tblBorders>
          <w:insideH w:val="none" w:sz="0" w:space="0" w:color="auto"/>
          <w:insideV w:val="none" w:sz="0" w:space="0" w:color="auto"/>
        </w:tblBorders>
        <w:tblLook w:val="04A0" w:firstRow="1" w:lastRow="0" w:firstColumn="1" w:lastColumn="0" w:noHBand="0" w:noVBand="1"/>
      </w:tblPr>
      <w:tblGrid>
        <w:gridCol w:w="6414"/>
        <w:gridCol w:w="7891"/>
      </w:tblGrid>
      <w:tr w:rsidR="00896BD9" w:rsidRPr="00896BD9" w14:paraId="080AD2BB" w14:textId="77777777" w:rsidTr="003642FB">
        <w:trPr>
          <w:trHeight w:val="448"/>
        </w:trPr>
        <w:tc>
          <w:tcPr>
            <w:tcW w:w="6414" w:type="dxa"/>
            <w:shd w:val="clear" w:color="auto" w:fill="F2F2F2"/>
          </w:tcPr>
          <w:p w14:paraId="21E8B137" w14:textId="77777777" w:rsidR="00896BD9" w:rsidRPr="00FD46F0" w:rsidRDefault="00A12953" w:rsidP="00896BD9">
            <w:pPr>
              <w:spacing w:before="80" w:line="360" w:lineRule="auto"/>
              <w:rPr>
                <w:rFonts w:ascii="Calibri" w:eastAsia="Calibri" w:hAnsi="Calibri" w:cs="Times New Roman"/>
                <w:color w:val="2F5496" w:themeColor="accent5" w:themeShade="BF"/>
              </w:rPr>
            </w:pPr>
            <w:r w:rsidRPr="00FD46F0">
              <w:rPr>
                <w:rFonts w:ascii="Calibri" w:eastAsia="Calibri" w:hAnsi="Calibri" w:cs="Times New Roman"/>
                <w:color w:val="2F5496" w:themeColor="accent5" w:themeShade="BF"/>
              </w:rPr>
              <w:t xml:space="preserve">Program: </w:t>
            </w:r>
          </w:p>
        </w:tc>
        <w:tc>
          <w:tcPr>
            <w:tcW w:w="7891" w:type="dxa"/>
            <w:shd w:val="clear" w:color="auto" w:fill="F2F2F2"/>
          </w:tcPr>
          <w:p w14:paraId="76E3463F" w14:textId="77777777" w:rsidR="00896BD9" w:rsidRPr="00FD46F0" w:rsidRDefault="00A12953" w:rsidP="00896BD9">
            <w:pPr>
              <w:spacing w:before="80" w:line="360" w:lineRule="auto"/>
              <w:rPr>
                <w:rFonts w:ascii="Calibri" w:eastAsia="Calibri" w:hAnsi="Calibri" w:cs="Times New Roman"/>
                <w:b/>
                <w:color w:val="2F5496" w:themeColor="accent5" w:themeShade="BF"/>
              </w:rPr>
            </w:pPr>
            <w:r w:rsidRPr="00FD46F0">
              <w:rPr>
                <w:rFonts w:ascii="Calibri" w:eastAsia="Calibri" w:hAnsi="Calibri" w:cs="Times New Roman"/>
                <w:color w:val="2F5496" w:themeColor="accent5" w:themeShade="BF"/>
              </w:rPr>
              <w:t xml:space="preserve">Department: </w:t>
            </w:r>
          </w:p>
        </w:tc>
      </w:tr>
      <w:tr w:rsidR="00896BD9" w:rsidRPr="00896BD9" w14:paraId="273ED058" w14:textId="77777777" w:rsidTr="003642FB">
        <w:trPr>
          <w:trHeight w:val="461"/>
        </w:trPr>
        <w:tc>
          <w:tcPr>
            <w:tcW w:w="6414" w:type="dxa"/>
            <w:shd w:val="clear" w:color="auto" w:fill="F2F2F2"/>
          </w:tcPr>
          <w:p w14:paraId="2242FC85" w14:textId="77777777" w:rsidR="00896BD9" w:rsidRPr="00FD46F0" w:rsidRDefault="005006C0" w:rsidP="00896BD9">
            <w:pPr>
              <w:spacing w:before="80" w:line="360" w:lineRule="auto"/>
              <w:rPr>
                <w:rFonts w:ascii="Calibri" w:eastAsia="Calibri" w:hAnsi="Calibri" w:cs="Times New Roman"/>
                <w:b/>
                <w:color w:val="2F5496" w:themeColor="accent5" w:themeShade="BF"/>
              </w:rPr>
            </w:pPr>
            <w:r w:rsidRPr="00FD46F0">
              <w:rPr>
                <w:rFonts w:ascii="Calibri" w:eastAsia="Calibri" w:hAnsi="Calibri" w:cs="Times New Roman"/>
                <w:color w:val="2F5496" w:themeColor="accent5" w:themeShade="BF"/>
              </w:rPr>
              <w:t xml:space="preserve">Assessment Contact: </w:t>
            </w:r>
          </w:p>
          <w:p w14:paraId="7EDE30B6" w14:textId="02951ECF" w:rsidR="003642FB" w:rsidRPr="00FD46F0" w:rsidRDefault="003642FB" w:rsidP="00896BD9">
            <w:pPr>
              <w:spacing w:before="80" w:line="360" w:lineRule="auto"/>
              <w:rPr>
                <w:rFonts w:ascii="Calibri" w:eastAsia="Calibri" w:hAnsi="Calibri" w:cs="Times New Roman"/>
                <w:color w:val="2F5496" w:themeColor="accent5" w:themeShade="BF"/>
              </w:rPr>
            </w:pPr>
            <w:r w:rsidRPr="00FD46F0">
              <w:rPr>
                <w:rFonts w:ascii="Calibri" w:eastAsia="Calibri" w:hAnsi="Calibri" w:cs="Times New Roman"/>
                <w:color w:val="2F5496" w:themeColor="accent5" w:themeShade="BF"/>
              </w:rPr>
              <w:t>Report Year:</w:t>
            </w:r>
            <w:r w:rsidR="00A12953" w:rsidRPr="00FD46F0">
              <w:rPr>
                <w:rFonts w:ascii="Calibri" w:eastAsia="Calibri" w:hAnsi="Calibri" w:cs="Times New Roman"/>
                <w:color w:val="2F5496" w:themeColor="accent5" w:themeShade="BF"/>
              </w:rPr>
              <w:t xml:space="preserve"> </w:t>
            </w:r>
          </w:p>
        </w:tc>
        <w:tc>
          <w:tcPr>
            <w:tcW w:w="7891" w:type="dxa"/>
            <w:shd w:val="clear" w:color="auto" w:fill="F2F2F2"/>
          </w:tcPr>
          <w:p w14:paraId="2CFFB160" w14:textId="77777777" w:rsidR="00896BD9" w:rsidRPr="00FD46F0" w:rsidRDefault="00896BD9" w:rsidP="00896BD9">
            <w:pPr>
              <w:spacing w:before="80" w:line="360" w:lineRule="auto"/>
              <w:rPr>
                <w:rFonts w:ascii="Calibri" w:eastAsia="Calibri" w:hAnsi="Calibri" w:cs="Times New Roman"/>
                <w:b/>
                <w:color w:val="2F5496" w:themeColor="accent5" w:themeShade="BF"/>
              </w:rPr>
            </w:pPr>
            <w:r w:rsidRPr="00FD46F0">
              <w:rPr>
                <w:rFonts w:ascii="Calibri" w:eastAsia="Calibri" w:hAnsi="Calibri" w:cs="Times New Roman"/>
                <w:color w:val="2F5496" w:themeColor="accent5" w:themeShade="BF"/>
              </w:rPr>
              <w:t>College/School:</w:t>
            </w:r>
            <w:r w:rsidR="00A12953" w:rsidRPr="00FD46F0">
              <w:rPr>
                <w:rFonts w:ascii="Calibri" w:eastAsia="Calibri" w:hAnsi="Calibri" w:cs="Times New Roman"/>
                <w:color w:val="2F5496" w:themeColor="accent5" w:themeShade="BF"/>
              </w:rPr>
              <w:t xml:space="preserve"> </w:t>
            </w:r>
          </w:p>
          <w:p w14:paraId="68448212" w14:textId="77777777" w:rsidR="003642FB" w:rsidRPr="00FD46F0" w:rsidRDefault="003642FB" w:rsidP="00896BD9">
            <w:pPr>
              <w:spacing w:before="80" w:line="360" w:lineRule="auto"/>
              <w:rPr>
                <w:rFonts w:ascii="Calibri" w:eastAsia="Calibri" w:hAnsi="Calibri" w:cs="Times New Roman"/>
                <w:b/>
                <w:color w:val="2F5496" w:themeColor="accent5" w:themeShade="BF"/>
              </w:rPr>
            </w:pPr>
            <w:r w:rsidRPr="00FD46F0">
              <w:rPr>
                <w:rFonts w:ascii="Calibri" w:eastAsia="Calibri" w:hAnsi="Calibri" w:cs="Times New Roman"/>
                <w:color w:val="2F5496" w:themeColor="accent5" w:themeShade="BF"/>
              </w:rPr>
              <w:t>Date of Feedback:</w:t>
            </w:r>
            <w:r w:rsidR="00A12953" w:rsidRPr="00FD46F0">
              <w:rPr>
                <w:rFonts w:ascii="Calibri" w:eastAsia="Calibri" w:hAnsi="Calibri" w:cs="Times New Roman"/>
                <w:color w:val="2F5496" w:themeColor="accent5" w:themeShade="BF"/>
              </w:rPr>
              <w:t xml:space="preserve"> </w:t>
            </w:r>
          </w:p>
        </w:tc>
      </w:tr>
    </w:tbl>
    <w:p w14:paraId="2FCB97B6" w14:textId="77777777" w:rsidR="00896BD9" w:rsidRDefault="00896BD9"/>
    <w:p w14:paraId="3087EF7E" w14:textId="77777777" w:rsidR="003642FB" w:rsidRPr="00325313" w:rsidRDefault="003642FB">
      <w:pPr>
        <w:rPr>
          <w:sz w:val="20"/>
        </w:rPr>
      </w:pPr>
      <w:r w:rsidRPr="00325313">
        <w:rPr>
          <w:sz w:val="20"/>
        </w:rPr>
        <w:t xml:space="preserve">The purpose of this form is to provide feedback to program faculty about their </w:t>
      </w:r>
      <w:r w:rsidR="001305F3" w:rsidRPr="00325313">
        <w:rPr>
          <w:sz w:val="20"/>
        </w:rPr>
        <w:t xml:space="preserve">student learning </w:t>
      </w:r>
      <w:r w:rsidRPr="00325313">
        <w:rPr>
          <w:sz w:val="20"/>
        </w:rPr>
        <w:t xml:space="preserve">assessment practices and processes based on the information submitted in the annual program-level assessment report. The form is set up to match the assessment report template and the scale used to </w:t>
      </w:r>
      <w:r w:rsidR="00AD3CD1" w:rsidRPr="00325313">
        <w:rPr>
          <w:sz w:val="20"/>
        </w:rPr>
        <w:t>provide ratings is as follows:</w:t>
      </w:r>
    </w:p>
    <w:p w14:paraId="69FB8E76" w14:textId="77777777" w:rsidR="00AD3CD1" w:rsidRPr="00325313" w:rsidRDefault="00AD3CD1">
      <w:pPr>
        <w:rPr>
          <w:sz w:val="20"/>
        </w:rPr>
      </w:pPr>
    </w:p>
    <w:p w14:paraId="72952EF6" w14:textId="77777777" w:rsidR="00AD3CD1" w:rsidRPr="00325313" w:rsidRDefault="00AD3CD1" w:rsidP="007967F0">
      <w:pPr>
        <w:ind w:left="720"/>
        <w:rPr>
          <w:sz w:val="20"/>
        </w:rPr>
      </w:pPr>
      <w:r w:rsidRPr="00325313">
        <w:rPr>
          <w:sz w:val="20"/>
        </w:rPr>
        <w:t>Met: The</w:t>
      </w:r>
      <w:r w:rsidR="00EF1539" w:rsidRPr="00325313">
        <w:rPr>
          <w:sz w:val="20"/>
        </w:rPr>
        <w:t xml:space="preserve"> assessment process and/or</w:t>
      </w:r>
      <w:r w:rsidRPr="00325313">
        <w:rPr>
          <w:sz w:val="20"/>
        </w:rPr>
        <w:t xml:space="preserve"> report content fully meets this expectation.</w:t>
      </w:r>
    </w:p>
    <w:p w14:paraId="60379B5C" w14:textId="77777777" w:rsidR="00AD3CD1" w:rsidRPr="00325313" w:rsidRDefault="00AD3CD1" w:rsidP="007967F0">
      <w:pPr>
        <w:ind w:left="720"/>
        <w:rPr>
          <w:sz w:val="20"/>
        </w:rPr>
      </w:pPr>
      <w:r w:rsidRPr="00325313">
        <w:rPr>
          <w:sz w:val="20"/>
        </w:rPr>
        <w:t xml:space="preserve">Partially Met: The </w:t>
      </w:r>
      <w:r w:rsidR="00EF1539" w:rsidRPr="00325313">
        <w:rPr>
          <w:sz w:val="20"/>
        </w:rPr>
        <w:t xml:space="preserve">assessment process and/or </w:t>
      </w:r>
      <w:r w:rsidRPr="00325313">
        <w:rPr>
          <w:sz w:val="20"/>
        </w:rPr>
        <w:t>report content partially meets this expectation</w:t>
      </w:r>
      <w:r w:rsidR="00EF1539" w:rsidRPr="00325313">
        <w:rPr>
          <w:sz w:val="20"/>
        </w:rPr>
        <w:t>.</w:t>
      </w:r>
    </w:p>
    <w:p w14:paraId="50500C56" w14:textId="77777777" w:rsidR="007967F0" w:rsidRPr="00325313" w:rsidRDefault="00AD3CD1" w:rsidP="007967F0">
      <w:pPr>
        <w:ind w:left="720"/>
        <w:rPr>
          <w:sz w:val="20"/>
        </w:rPr>
      </w:pPr>
      <w:r w:rsidRPr="00325313">
        <w:rPr>
          <w:sz w:val="20"/>
        </w:rPr>
        <w:t xml:space="preserve">Not Met: The </w:t>
      </w:r>
      <w:r w:rsidR="00EF1539" w:rsidRPr="00325313">
        <w:rPr>
          <w:sz w:val="20"/>
        </w:rPr>
        <w:t xml:space="preserve">assessment process and/or </w:t>
      </w:r>
      <w:r w:rsidRPr="00325313">
        <w:rPr>
          <w:sz w:val="20"/>
        </w:rPr>
        <w:t>report content does not indicat</w:t>
      </w:r>
      <w:r w:rsidR="00E5284F">
        <w:rPr>
          <w:sz w:val="20"/>
        </w:rPr>
        <w:t>e that this expectation was met or t</w:t>
      </w:r>
      <w:r w:rsidR="007967F0" w:rsidRPr="00325313">
        <w:rPr>
          <w:sz w:val="20"/>
        </w:rPr>
        <w:t>he report content does not include this information</w:t>
      </w:r>
    </w:p>
    <w:p w14:paraId="29F61902" w14:textId="77777777" w:rsidR="005069E4" w:rsidRPr="00325313" w:rsidRDefault="005069E4">
      <w:pPr>
        <w:rPr>
          <w:sz w:val="20"/>
        </w:rPr>
      </w:pPr>
      <w:r w:rsidRPr="00325313">
        <w:rPr>
          <w:sz w:val="20"/>
        </w:rPr>
        <w:tab/>
      </w:r>
    </w:p>
    <w:p w14:paraId="612A2C6E" w14:textId="77777777" w:rsidR="007967F0" w:rsidRPr="00325313" w:rsidRDefault="007967F0" w:rsidP="00F45140">
      <w:pPr>
        <w:ind w:right="-270"/>
        <w:rPr>
          <w:sz w:val="20"/>
        </w:rPr>
      </w:pPr>
      <w:r w:rsidRPr="00F45140">
        <w:rPr>
          <w:b/>
          <w:sz w:val="20"/>
        </w:rPr>
        <w:t>The University Assessment Committee encourages program faculty to use this feedback as they plan</w:t>
      </w:r>
      <w:r w:rsidR="00242698">
        <w:rPr>
          <w:b/>
          <w:sz w:val="20"/>
        </w:rPr>
        <w:t>,</w:t>
      </w:r>
      <w:r w:rsidRPr="00F45140">
        <w:rPr>
          <w:b/>
          <w:sz w:val="20"/>
        </w:rPr>
        <w:t xml:space="preserve"> implement</w:t>
      </w:r>
      <w:r w:rsidR="00242698">
        <w:rPr>
          <w:b/>
          <w:sz w:val="20"/>
        </w:rPr>
        <w:t>, and report on their</w:t>
      </w:r>
      <w:r w:rsidRPr="00F45140">
        <w:rPr>
          <w:b/>
          <w:sz w:val="20"/>
        </w:rPr>
        <w:t xml:space="preserve"> assessment of student learning</w:t>
      </w:r>
      <w:r w:rsidR="00242698">
        <w:rPr>
          <w:b/>
          <w:sz w:val="20"/>
        </w:rPr>
        <w:t xml:space="preserve"> efforts</w:t>
      </w:r>
      <w:r w:rsidRPr="00325313">
        <w:rPr>
          <w:sz w:val="20"/>
        </w:rPr>
        <w:t xml:space="preserve">. </w:t>
      </w:r>
    </w:p>
    <w:p w14:paraId="29F75579" w14:textId="77777777" w:rsidR="003642FB" w:rsidRDefault="003642FB" w:rsidP="003642FB"/>
    <w:tbl>
      <w:tblPr>
        <w:tblStyle w:val="TableGrid"/>
        <w:tblW w:w="0" w:type="auto"/>
        <w:tblBorders>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785"/>
        <w:gridCol w:w="2515"/>
      </w:tblGrid>
      <w:tr w:rsidR="00AD3CD1" w14:paraId="097C568B" w14:textId="77777777" w:rsidTr="00BA6FF8">
        <w:tc>
          <w:tcPr>
            <w:tcW w:w="11785" w:type="dxa"/>
          </w:tcPr>
          <w:p w14:paraId="1096D0D0" w14:textId="77777777" w:rsidR="00AD3CD1" w:rsidRPr="001305F3" w:rsidRDefault="00AD3CD1">
            <w:pPr>
              <w:rPr>
                <w:b/>
                <w:color w:val="2F5496" w:themeColor="accent5" w:themeShade="BF"/>
              </w:rPr>
            </w:pPr>
            <w:r w:rsidRPr="001305F3">
              <w:rPr>
                <w:b/>
                <w:color w:val="2F5496" w:themeColor="accent5" w:themeShade="BF"/>
              </w:rPr>
              <w:t>1. Student Learning Outcomes (SLOs)</w:t>
            </w:r>
          </w:p>
        </w:tc>
        <w:tc>
          <w:tcPr>
            <w:tcW w:w="2515" w:type="dxa"/>
          </w:tcPr>
          <w:p w14:paraId="04D5647A" w14:textId="77777777" w:rsidR="00AD3CD1" w:rsidRPr="001305F3" w:rsidRDefault="00AD3CD1" w:rsidP="00AD3CD1">
            <w:pPr>
              <w:jc w:val="center"/>
              <w:rPr>
                <w:b/>
                <w:color w:val="2F5496" w:themeColor="accent5" w:themeShade="BF"/>
              </w:rPr>
            </w:pPr>
            <w:r w:rsidRPr="001305F3">
              <w:rPr>
                <w:b/>
                <w:color w:val="2F5496" w:themeColor="accent5" w:themeShade="BF"/>
              </w:rPr>
              <w:t>Rating</w:t>
            </w:r>
          </w:p>
        </w:tc>
      </w:tr>
      <w:tr w:rsidR="00D37580" w14:paraId="22851D81" w14:textId="77777777" w:rsidTr="00BA6FF8">
        <w:tc>
          <w:tcPr>
            <w:tcW w:w="11785" w:type="dxa"/>
          </w:tcPr>
          <w:p w14:paraId="0210CB25" w14:textId="77777777" w:rsidR="00D37580" w:rsidRPr="009654DE" w:rsidRDefault="00D37580" w:rsidP="007967F0">
            <w:pPr>
              <w:pStyle w:val="ListParagraph"/>
              <w:numPr>
                <w:ilvl w:val="0"/>
                <w:numId w:val="5"/>
              </w:numPr>
              <w:ind w:left="521"/>
              <w:rPr>
                <w:sz w:val="20"/>
              </w:rPr>
            </w:pPr>
            <w:r w:rsidRPr="009654DE">
              <w:rPr>
                <w:sz w:val="20"/>
              </w:rPr>
              <w:t>SLOs are written using appropriate SLO format and language, such that they are</w:t>
            </w:r>
            <w:r w:rsidR="001305F3" w:rsidRPr="009654DE">
              <w:rPr>
                <w:sz w:val="20"/>
              </w:rPr>
              <w:t>:</w:t>
            </w:r>
          </w:p>
          <w:p w14:paraId="594E0A34" w14:textId="77777777" w:rsidR="00D37580" w:rsidRPr="009654DE" w:rsidRDefault="00D37580" w:rsidP="00D37580">
            <w:pPr>
              <w:pStyle w:val="ListParagraph"/>
              <w:numPr>
                <w:ilvl w:val="0"/>
                <w:numId w:val="17"/>
              </w:numPr>
              <w:rPr>
                <w:sz w:val="20"/>
              </w:rPr>
            </w:pPr>
            <w:r w:rsidRPr="009654DE">
              <w:rPr>
                <w:sz w:val="20"/>
              </w:rPr>
              <w:t>The educational result of tasks, experiences, or assignments</w:t>
            </w:r>
          </w:p>
          <w:p w14:paraId="21EA5CD7" w14:textId="77777777" w:rsidR="00D37580" w:rsidRPr="009654DE" w:rsidRDefault="00732FCF" w:rsidP="00D37580">
            <w:pPr>
              <w:pStyle w:val="ListParagraph"/>
              <w:numPr>
                <w:ilvl w:val="0"/>
                <w:numId w:val="17"/>
              </w:numPr>
              <w:rPr>
                <w:sz w:val="20"/>
              </w:rPr>
            </w:pPr>
            <w:r w:rsidRPr="009654DE">
              <w:rPr>
                <w:sz w:val="20"/>
              </w:rPr>
              <w:t xml:space="preserve">Focused on what graduates of the program should know, think, or be able to do </w:t>
            </w:r>
          </w:p>
          <w:p w14:paraId="36F85675" w14:textId="77777777" w:rsidR="00D37580" w:rsidRPr="009654DE" w:rsidRDefault="00D37580" w:rsidP="00732FCF">
            <w:pPr>
              <w:pStyle w:val="ListParagraph"/>
              <w:numPr>
                <w:ilvl w:val="0"/>
                <w:numId w:val="17"/>
              </w:numPr>
              <w:rPr>
                <w:sz w:val="20"/>
              </w:rPr>
            </w:pPr>
            <w:r w:rsidRPr="009654DE">
              <w:rPr>
                <w:sz w:val="20"/>
              </w:rPr>
              <w:t>Clear, specific, and observable</w:t>
            </w:r>
          </w:p>
        </w:tc>
        <w:tc>
          <w:tcPr>
            <w:tcW w:w="2515" w:type="dxa"/>
          </w:tcPr>
          <w:p w14:paraId="7019A2BD" w14:textId="77777777" w:rsidR="00D37580" w:rsidRPr="00046F38" w:rsidRDefault="00D37580" w:rsidP="007967F0">
            <w:pPr>
              <w:jc w:val="center"/>
              <w:rPr>
                <w:sz w:val="20"/>
              </w:rPr>
            </w:pPr>
          </w:p>
        </w:tc>
      </w:tr>
      <w:tr w:rsidR="003642FB" w14:paraId="1C6B5E22" w14:textId="77777777" w:rsidTr="00BA6FF8">
        <w:tc>
          <w:tcPr>
            <w:tcW w:w="11785" w:type="dxa"/>
          </w:tcPr>
          <w:p w14:paraId="67C9A69E" w14:textId="77777777" w:rsidR="003642FB" w:rsidRPr="009654DE" w:rsidRDefault="003642FB" w:rsidP="007967F0">
            <w:pPr>
              <w:pStyle w:val="ListParagraph"/>
              <w:numPr>
                <w:ilvl w:val="0"/>
                <w:numId w:val="5"/>
              </w:numPr>
              <w:ind w:left="521"/>
              <w:rPr>
                <w:sz w:val="20"/>
              </w:rPr>
            </w:pPr>
            <w:r w:rsidRPr="009654DE">
              <w:rPr>
                <w:sz w:val="20"/>
              </w:rPr>
              <w:t>A manageable number of SLOs are assessed in the report year.</w:t>
            </w:r>
          </w:p>
        </w:tc>
        <w:tc>
          <w:tcPr>
            <w:tcW w:w="2515" w:type="dxa"/>
          </w:tcPr>
          <w:p w14:paraId="3E09E38D" w14:textId="77777777" w:rsidR="003642FB" w:rsidRPr="00046F38" w:rsidRDefault="003642FB" w:rsidP="007967F0">
            <w:pPr>
              <w:jc w:val="center"/>
              <w:rPr>
                <w:sz w:val="20"/>
              </w:rPr>
            </w:pPr>
          </w:p>
        </w:tc>
      </w:tr>
      <w:tr w:rsidR="007967F0" w14:paraId="2B479FFA" w14:textId="77777777" w:rsidTr="00BA6FF8">
        <w:tc>
          <w:tcPr>
            <w:tcW w:w="14300" w:type="dxa"/>
            <w:gridSpan w:val="2"/>
          </w:tcPr>
          <w:p w14:paraId="5E0703E2" w14:textId="77777777" w:rsidR="007967F0" w:rsidRPr="009654DE" w:rsidRDefault="007967F0" w:rsidP="007967F0">
            <w:pPr>
              <w:rPr>
                <w:sz w:val="20"/>
              </w:rPr>
            </w:pPr>
            <w:r w:rsidRPr="009654DE">
              <w:rPr>
                <w:sz w:val="20"/>
              </w:rPr>
              <w:t>Comments and/or recommendations:</w:t>
            </w:r>
          </w:p>
          <w:p w14:paraId="4E2CE485" w14:textId="77777777" w:rsidR="007967F0" w:rsidRPr="009654DE" w:rsidRDefault="007967F0" w:rsidP="007967F0">
            <w:pPr>
              <w:rPr>
                <w:sz w:val="20"/>
              </w:rPr>
            </w:pPr>
          </w:p>
        </w:tc>
      </w:tr>
      <w:tr w:rsidR="007967F0" w14:paraId="5DBE82B9" w14:textId="77777777" w:rsidTr="00BA6FF8">
        <w:tc>
          <w:tcPr>
            <w:tcW w:w="11785" w:type="dxa"/>
          </w:tcPr>
          <w:p w14:paraId="75D1159B" w14:textId="77777777" w:rsidR="007967F0" w:rsidRPr="001305F3" w:rsidRDefault="007967F0" w:rsidP="000B5475">
            <w:pPr>
              <w:rPr>
                <w:b/>
                <w:color w:val="2F5496" w:themeColor="accent5" w:themeShade="BF"/>
              </w:rPr>
            </w:pPr>
            <w:r w:rsidRPr="001305F3">
              <w:rPr>
                <w:b/>
                <w:color w:val="2F5496" w:themeColor="accent5" w:themeShade="BF"/>
              </w:rPr>
              <w:t xml:space="preserve">2. </w:t>
            </w:r>
            <w:r w:rsidR="005069E4" w:rsidRPr="001305F3">
              <w:rPr>
                <w:b/>
                <w:color w:val="2F5496" w:themeColor="accent5" w:themeShade="BF"/>
              </w:rPr>
              <w:t xml:space="preserve">Assessment Methods: </w:t>
            </w:r>
            <w:r w:rsidRPr="001305F3">
              <w:rPr>
                <w:b/>
                <w:color w:val="2F5496" w:themeColor="accent5" w:themeShade="BF"/>
              </w:rPr>
              <w:t>Artifacts of Student Learning</w:t>
            </w:r>
          </w:p>
        </w:tc>
        <w:tc>
          <w:tcPr>
            <w:tcW w:w="2515" w:type="dxa"/>
          </w:tcPr>
          <w:p w14:paraId="7136C8B4" w14:textId="77777777" w:rsidR="007967F0" w:rsidRPr="001305F3" w:rsidRDefault="007967F0" w:rsidP="000B5475">
            <w:pPr>
              <w:jc w:val="center"/>
              <w:rPr>
                <w:b/>
                <w:color w:val="2F5496" w:themeColor="accent5" w:themeShade="BF"/>
              </w:rPr>
            </w:pPr>
            <w:r w:rsidRPr="001305F3">
              <w:rPr>
                <w:b/>
                <w:color w:val="2F5496" w:themeColor="accent5" w:themeShade="BF"/>
              </w:rPr>
              <w:t>Rating</w:t>
            </w:r>
          </w:p>
        </w:tc>
      </w:tr>
      <w:tr w:rsidR="007967F0" w14:paraId="08E27A13" w14:textId="77777777" w:rsidTr="00BA6FF8">
        <w:tc>
          <w:tcPr>
            <w:tcW w:w="11785" w:type="dxa"/>
          </w:tcPr>
          <w:p w14:paraId="70A9CB3F" w14:textId="77777777" w:rsidR="007967F0" w:rsidRPr="009654DE" w:rsidRDefault="007967F0" w:rsidP="005069E4">
            <w:pPr>
              <w:pStyle w:val="ListParagraph"/>
              <w:numPr>
                <w:ilvl w:val="0"/>
                <w:numId w:val="12"/>
              </w:numPr>
              <w:rPr>
                <w:sz w:val="20"/>
              </w:rPr>
            </w:pPr>
            <w:r w:rsidRPr="009654DE">
              <w:rPr>
                <w:sz w:val="20"/>
              </w:rPr>
              <w:t>The artifacts include direct measures of student learning.</w:t>
            </w:r>
          </w:p>
        </w:tc>
        <w:tc>
          <w:tcPr>
            <w:tcW w:w="2515" w:type="dxa"/>
          </w:tcPr>
          <w:p w14:paraId="3CE71A23" w14:textId="77777777" w:rsidR="007967F0" w:rsidRPr="00046F38" w:rsidRDefault="007967F0" w:rsidP="007967F0">
            <w:pPr>
              <w:jc w:val="center"/>
              <w:rPr>
                <w:sz w:val="20"/>
              </w:rPr>
            </w:pPr>
          </w:p>
        </w:tc>
      </w:tr>
      <w:tr w:rsidR="007967F0" w14:paraId="044DF3D8" w14:textId="77777777" w:rsidTr="00BA6FF8">
        <w:tc>
          <w:tcPr>
            <w:tcW w:w="11785" w:type="dxa"/>
          </w:tcPr>
          <w:p w14:paraId="7371D7B5" w14:textId="77777777" w:rsidR="007967F0" w:rsidRPr="009654DE" w:rsidRDefault="007967F0" w:rsidP="005069E4">
            <w:pPr>
              <w:pStyle w:val="ListParagraph"/>
              <w:numPr>
                <w:ilvl w:val="0"/>
                <w:numId w:val="12"/>
              </w:numPr>
              <w:rPr>
                <w:sz w:val="20"/>
              </w:rPr>
            </w:pPr>
            <w:r w:rsidRPr="009654DE">
              <w:rPr>
                <w:sz w:val="20"/>
              </w:rPr>
              <w:t>The artifacts match the SLO: how students are being asked to demonstrate their learning matches with the intended learning as outlined in the SLO (e.g., an oral communication SLO is assessed via an oral presentation).</w:t>
            </w:r>
          </w:p>
        </w:tc>
        <w:tc>
          <w:tcPr>
            <w:tcW w:w="2515" w:type="dxa"/>
          </w:tcPr>
          <w:p w14:paraId="716D2C6B" w14:textId="77777777" w:rsidR="007967F0" w:rsidRPr="00046F38" w:rsidRDefault="007967F0" w:rsidP="007967F0">
            <w:pPr>
              <w:jc w:val="center"/>
              <w:rPr>
                <w:sz w:val="20"/>
              </w:rPr>
            </w:pPr>
          </w:p>
        </w:tc>
      </w:tr>
      <w:tr w:rsidR="007967F0" w14:paraId="6A098839" w14:textId="77777777" w:rsidTr="00BA6FF8">
        <w:tc>
          <w:tcPr>
            <w:tcW w:w="11785" w:type="dxa"/>
          </w:tcPr>
          <w:p w14:paraId="3D905965" w14:textId="77777777" w:rsidR="007967F0" w:rsidRPr="009654DE" w:rsidRDefault="007967F0" w:rsidP="005069E4">
            <w:pPr>
              <w:pStyle w:val="ListParagraph"/>
              <w:numPr>
                <w:ilvl w:val="0"/>
                <w:numId w:val="12"/>
              </w:numPr>
              <w:rPr>
                <w:sz w:val="20"/>
              </w:rPr>
            </w:pPr>
            <w:r w:rsidRPr="009654DE">
              <w:rPr>
                <w:sz w:val="20"/>
              </w:rPr>
              <w:t>The artifacts are only from majors/graduates of the program and represent their most advanced work.</w:t>
            </w:r>
          </w:p>
        </w:tc>
        <w:tc>
          <w:tcPr>
            <w:tcW w:w="2515" w:type="dxa"/>
          </w:tcPr>
          <w:p w14:paraId="65C24CCF" w14:textId="77777777" w:rsidR="007967F0" w:rsidRPr="00046F38" w:rsidRDefault="007967F0" w:rsidP="007967F0">
            <w:pPr>
              <w:jc w:val="center"/>
              <w:rPr>
                <w:sz w:val="20"/>
              </w:rPr>
            </w:pPr>
          </w:p>
        </w:tc>
      </w:tr>
      <w:tr w:rsidR="007967F0" w14:paraId="7631967B" w14:textId="77777777" w:rsidTr="00BA6FF8">
        <w:tc>
          <w:tcPr>
            <w:tcW w:w="11785" w:type="dxa"/>
          </w:tcPr>
          <w:p w14:paraId="0ABBE98C" w14:textId="77777777" w:rsidR="007967F0" w:rsidRPr="009654DE" w:rsidRDefault="007967F0" w:rsidP="005069E4">
            <w:pPr>
              <w:pStyle w:val="ListParagraph"/>
              <w:numPr>
                <w:ilvl w:val="0"/>
                <w:numId w:val="12"/>
              </w:numPr>
              <w:rPr>
                <w:sz w:val="20"/>
              </w:rPr>
            </w:pPr>
            <w:r w:rsidRPr="009654DE">
              <w:rPr>
                <w:sz w:val="20"/>
              </w:rPr>
              <w:t>The number of artifacts being reviewed is manageable.</w:t>
            </w:r>
          </w:p>
        </w:tc>
        <w:tc>
          <w:tcPr>
            <w:tcW w:w="2515" w:type="dxa"/>
          </w:tcPr>
          <w:p w14:paraId="65FB567B" w14:textId="77777777" w:rsidR="007967F0" w:rsidRPr="00046F38" w:rsidRDefault="007967F0" w:rsidP="007967F0">
            <w:pPr>
              <w:jc w:val="center"/>
              <w:rPr>
                <w:sz w:val="20"/>
              </w:rPr>
            </w:pPr>
          </w:p>
        </w:tc>
      </w:tr>
      <w:tr w:rsidR="00DB739C" w14:paraId="3D312747" w14:textId="77777777" w:rsidTr="00BA6FF8">
        <w:tc>
          <w:tcPr>
            <w:tcW w:w="14300" w:type="dxa"/>
            <w:gridSpan w:val="2"/>
          </w:tcPr>
          <w:p w14:paraId="6766D8CE" w14:textId="77777777" w:rsidR="00DB739C" w:rsidRPr="009654DE" w:rsidRDefault="00DB739C" w:rsidP="00DB739C">
            <w:pPr>
              <w:rPr>
                <w:sz w:val="20"/>
              </w:rPr>
            </w:pPr>
            <w:r w:rsidRPr="009654DE">
              <w:rPr>
                <w:sz w:val="20"/>
              </w:rPr>
              <w:t>Comments and/or recommendations:</w:t>
            </w:r>
          </w:p>
          <w:p w14:paraId="6F9834DE" w14:textId="77777777" w:rsidR="00EF1539" w:rsidRPr="009654DE" w:rsidRDefault="00EF1539" w:rsidP="00EF1539">
            <w:pPr>
              <w:rPr>
                <w:sz w:val="20"/>
              </w:rPr>
            </w:pPr>
          </w:p>
        </w:tc>
      </w:tr>
      <w:tr w:rsidR="005069E4" w14:paraId="6B059761" w14:textId="77777777" w:rsidTr="00BA6FF8">
        <w:tc>
          <w:tcPr>
            <w:tcW w:w="11785" w:type="dxa"/>
          </w:tcPr>
          <w:p w14:paraId="21BCA7BC" w14:textId="77777777" w:rsidR="005069E4" w:rsidRPr="001305F3" w:rsidRDefault="005069E4" w:rsidP="000B5475">
            <w:pPr>
              <w:rPr>
                <w:b/>
                <w:color w:val="2F5496" w:themeColor="accent5" w:themeShade="BF"/>
              </w:rPr>
            </w:pPr>
            <w:r w:rsidRPr="001305F3">
              <w:rPr>
                <w:b/>
                <w:color w:val="2F5496" w:themeColor="accent5" w:themeShade="BF"/>
              </w:rPr>
              <w:t>3. Assessment Methods: Evaluation Process</w:t>
            </w:r>
          </w:p>
        </w:tc>
        <w:tc>
          <w:tcPr>
            <w:tcW w:w="2515" w:type="dxa"/>
          </w:tcPr>
          <w:p w14:paraId="5D7BA213" w14:textId="77777777" w:rsidR="005069E4" w:rsidRPr="001305F3" w:rsidRDefault="005069E4" w:rsidP="000B5475">
            <w:pPr>
              <w:jc w:val="center"/>
              <w:rPr>
                <w:b/>
                <w:color w:val="2F5496" w:themeColor="accent5" w:themeShade="BF"/>
              </w:rPr>
            </w:pPr>
            <w:r w:rsidRPr="001305F3">
              <w:rPr>
                <w:b/>
                <w:color w:val="2F5496" w:themeColor="accent5" w:themeShade="BF"/>
              </w:rPr>
              <w:t>Rating</w:t>
            </w:r>
          </w:p>
        </w:tc>
      </w:tr>
      <w:tr w:rsidR="00FF2F14" w14:paraId="002BE81C" w14:textId="77777777" w:rsidTr="00BA6FF8">
        <w:tc>
          <w:tcPr>
            <w:tcW w:w="11785" w:type="dxa"/>
          </w:tcPr>
          <w:p w14:paraId="508D5455" w14:textId="77777777" w:rsidR="00FF2F14" w:rsidRPr="009654DE" w:rsidRDefault="00FF2F14" w:rsidP="00FF2F14">
            <w:pPr>
              <w:pStyle w:val="ListParagraph"/>
              <w:numPr>
                <w:ilvl w:val="0"/>
                <w:numId w:val="11"/>
              </w:numPr>
              <w:rPr>
                <w:sz w:val="20"/>
              </w:rPr>
            </w:pPr>
            <w:r w:rsidRPr="009654DE">
              <w:rPr>
                <w:sz w:val="20"/>
              </w:rPr>
              <w:t>The process for how artifacts of student learning were evaluated is included and is specific (language provides more than “faculty graded/examined/reviewed/assessed” the artifacts</w:t>
            </w:r>
            <w:r>
              <w:rPr>
                <w:sz w:val="20"/>
              </w:rPr>
              <w:t>); i</w:t>
            </w:r>
            <w:r w:rsidRPr="009654DE">
              <w:rPr>
                <w:sz w:val="20"/>
              </w:rPr>
              <w:t>t is clear exactly what process took place.</w:t>
            </w:r>
          </w:p>
        </w:tc>
        <w:tc>
          <w:tcPr>
            <w:tcW w:w="2515" w:type="dxa"/>
          </w:tcPr>
          <w:p w14:paraId="58E91087" w14:textId="77777777" w:rsidR="00FF2F14" w:rsidRPr="00046F38" w:rsidRDefault="00FF2F14" w:rsidP="00FF2F14">
            <w:pPr>
              <w:jc w:val="center"/>
              <w:rPr>
                <w:sz w:val="20"/>
              </w:rPr>
            </w:pPr>
          </w:p>
        </w:tc>
      </w:tr>
      <w:tr w:rsidR="00FF2F14" w14:paraId="6DF0CB1E" w14:textId="77777777" w:rsidTr="00BA6FF8">
        <w:tc>
          <w:tcPr>
            <w:tcW w:w="11785" w:type="dxa"/>
          </w:tcPr>
          <w:p w14:paraId="2F741E37" w14:textId="77777777" w:rsidR="00FF2F14" w:rsidRPr="009654DE" w:rsidRDefault="00FF2F14" w:rsidP="00FF2F14">
            <w:pPr>
              <w:pStyle w:val="ListParagraph"/>
              <w:numPr>
                <w:ilvl w:val="0"/>
                <w:numId w:val="11"/>
              </w:numPr>
              <w:rPr>
                <w:sz w:val="20"/>
              </w:rPr>
            </w:pPr>
            <w:r>
              <w:rPr>
                <w:sz w:val="20"/>
              </w:rPr>
              <w:t>The evaluation process is a good fit with the student learning outcomes and artifacts of student learning.</w:t>
            </w:r>
          </w:p>
        </w:tc>
        <w:tc>
          <w:tcPr>
            <w:tcW w:w="2515" w:type="dxa"/>
          </w:tcPr>
          <w:p w14:paraId="14B7E59F" w14:textId="77777777" w:rsidR="00FF2F14" w:rsidRPr="00046F38" w:rsidRDefault="00FF2F14" w:rsidP="00FF2F14">
            <w:pPr>
              <w:jc w:val="center"/>
              <w:rPr>
                <w:sz w:val="20"/>
              </w:rPr>
            </w:pPr>
          </w:p>
        </w:tc>
      </w:tr>
      <w:tr w:rsidR="00FF2F14" w14:paraId="013C2FA2" w14:textId="77777777" w:rsidTr="00BA6FF8">
        <w:tc>
          <w:tcPr>
            <w:tcW w:w="11785" w:type="dxa"/>
          </w:tcPr>
          <w:p w14:paraId="49AD2D3E" w14:textId="77777777" w:rsidR="00FF2F14" w:rsidRPr="009654DE" w:rsidRDefault="00FF2F14" w:rsidP="00FF2F14">
            <w:pPr>
              <w:pStyle w:val="ListParagraph"/>
              <w:numPr>
                <w:ilvl w:val="0"/>
                <w:numId w:val="11"/>
              </w:numPr>
              <w:rPr>
                <w:sz w:val="20"/>
              </w:rPr>
            </w:pPr>
            <w:r w:rsidRPr="009654DE">
              <w:rPr>
                <w:sz w:val="20"/>
              </w:rPr>
              <w:t>Any tools (e.g., rubric, checklist, survey, spreadsheet) used in the evalu</w:t>
            </w:r>
            <w:r>
              <w:rPr>
                <w:sz w:val="20"/>
              </w:rPr>
              <w:t>ation process are identified, described, and attached.</w:t>
            </w:r>
          </w:p>
        </w:tc>
        <w:tc>
          <w:tcPr>
            <w:tcW w:w="2515" w:type="dxa"/>
          </w:tcPr>
          <w:p w14:paraId="13AD7A5E" w14:textId="77777777" w:rsidR="00FF2F14" w:rsidRPr="00046F38" w:rsidRDefault="00FF2F14" w:rsidP="00FF2F14">
            <w:pPr>
              <w:jc w:val="center"/>
              <w:rPr>
                <w:sz w:val="20"/>
              </w:rPr>
            </w:pPr>
          </w:p>
        </w:tc>
      </w:tr>
      <w:tr w:rsidR="00FF2F14" w14:paraId="07667768" w14:textId="77777777" w:rsidTr="00BA6FF8">
        <w:tc>
          <w:tcPr>
            <w:tcW w:w="11785" w:type="dxa"/>
          </w:tcPr>
          <w:p w14:paraId="7CFC1843" w14:textId="77777777" w:rsidR="00FF2F14" w:rsidRPr="009654DE" w:rsidRDefault="00FF2F14" w:rsidP="00FF2F14">
            <w:pPr>
              <w:pStyle w:val="ListParagraph"/>
              <w:numPr>
                <w:ilvl w:val="0"/>
                <w:numId w:val="11"/>
              </w:numPr>
              <w:rPr>
                <w:sz w:val="20"/>
              </w:rPr>
            </w:pPr>
            <w:r>
              <w:rPr>
                <w:sz w:val="20"/>
              </w:rPr>
              <w:t>The evaluation tools are appropriate for the artifacts of student learning and are high-quality.</w:t>
            </w:r>
          </w:p>
        </w:tc>
        <w:tc>
          <w:tcPr>
            <w:tcW w:w="2515" w:type="dxa"/>
          </w:tcPr>
          <w:p w14:paraId="6E3BCE4E" w14:textId="77777777" w:rsidR="00FF2F14" w:rsidRPr="00046F38" w:rsidRDefault="00FF2F14" w:rsidP="00FF2F14">
            <w:pPr>
              <w:jc w:val="center"/>
              <w:rPr>
                <w:sz w:val="20"/>
              </w:rPr>
            </w:pPr>
          </w:p>
        </w:tc>
      </w:tr>
      <w:tr w:rsidR="005069E4" w14:paraId="39CC167E" w14:textId="77777777" w:rsidTr="00BA6FF8">
        <w:tc>
          <w:tcPr>
            <w:tcW w:w="14300" w:type="dxa"/>
            <w:gridSpan w:val="2"/>
          </w:tcPr>
          <w:p w14:paraId="00FF8802" w14:textId="77777777" w:rsidR="005069E4" w:rsidRPr="009654DE" w:rsidRDefault="005069E4" w:rsidP="000B5475">
            <w:pPr>
              <w:rPr>
                <w:sz w:val="20"/>
              </w:rPr>
            </w:pPr>
            <w:r w:rsidRPr="009654DE">
              <w:rPr>
                <w:sz w:val="20"/>
              </w:rPr>
              <w:t>Comments and/or recommendations:</w:t>
            </w:r>
          </w:p>
          <w:p w14:paraId="6611632E" w14:textId="77777777" w:rsidR="005069E4" w:rsidRPr="009654DE" w:rsidRDefault="005069E4" w:rsidP="000B5475">
            <w:pPr>
              <w:rPr>
                <w:sz w:val="20"/>
              </w:rPr>
            </w:pPr>
          </w:p>
          <w:p w14:paraId="4416CD3B" w14:textId="77777777" w:rsidR="005069E4" w:rsidRPr="009654DE" w:rsidRDefault="005069E4" w:rsidP="000B5475">
            <w:pPr>
              <w:rPr>
                <w:sz w:val="20"/>
              </w:rPr>
            </w:pPr>
          </w:p>
        </w:tc>
      </w:tr>
      <w:tr w:rsidR="00C70B66" w14:paraId="31300970" w14:textId="77777777" w:rsidTr="00BA6FF8">
        <w:tc>
          <w:tcPr>
            <w:tcW w:w="11785" w:type="dxa"/>
          </w:tcPr>
          <w:p w14:paraId="6587B33E" w14:textId="77777777" w:rsidR="00C70B66" w:rsidRPr="001305F3" w:rsidRDefault="00C70B66" w:rsidP="000B5475">
            <w:pPr>
              <w:rPr>
                <w:b/>
                <w:color w:val="2F5496" w:themeColor="accent5" w:themeShade="BF"/>
              </w:rPr>
            </w:pPr>
            <w:r w:rsidRPr="001305F3">
              <w:rPr>
                <w:b/>
                <w:color w:val="2F5496" w:themeColor="accent5" w:themeShade="BF"/>
              </w:rPr>
              <w:lastRenderedPageBreak/>
              <w:t>4. Data/Results</w:t>
            </w:r>
          </w:p>
        </w:tc>
        <w:tc>
          <w:tcPr>
            <w:tcW w:w="2515" w:type="dxa"/>
          </w:tcPr>
          <w:p w14:paraId="21F438B4" w14:textId="77777777" w:rsidR="00C70B66" w:rsidRPr="001305F3" w:rsidRDefault="00C70B66" w:rsidP="000B5475">
            <w:pPr>
              <w:jc w:val="center"/>
              <w:rPr>
                <w:b/>
                <w:color w:val="2F5496" w:themeColor="accent5" w:themeShade="BF"/>
              </w:rPr>
            </w:pPr>
            <w:r w:rsidRPr="001305F3">
              <w:rPr>
                <w:b/>
                <w:color w:val="2F5496" w:themeColor="accent5" w:themeShade="BF"/>
              </w:rPr>
              <w:t>Rating</w:t>
            </w:r>
          </w:p>
        </w:tc>
      </w:tr>
      <w:tr w:rsidR="00C70B66" w14:paraId="0413E04F" w14:textId="77777777" w:rsidTr="00BA6FF8">
        <w:tc>
          <w:tcPr>
            <w:tcW w:w="11785" w:type="dxa"/>
          </w:tcPr>
          <w:p w14:paraId="1AE6E26F" w14:textId="77777777" w:rsidR="00C70B66" w:rsidRPr="009654DE" w:rsidRDefault="00C70B66" w:rsidP="00C70B66">
            <w:pPr>
              <w:pStyle w:val="ListParagraph"/>
              <w:numPr>
                <w:ilvl w:val="0"/>
                <w:numId w:val="14"/>
              </w:numPr>
              <w:rPr>
                <w:sz w:val="20"/>
              </w:rPr>
            </w:pPr>
            <w:r w:rsidRPr="009654DE">
              <w:rPr>
                <w:sz w:val="20"/>
              </w:rPr>
              <w:t xml:space="preserve">The actual data is shared and not just summarized. (Statements such as “The data indicated success in achieving SLO 1” or “The students were rated to meet expectations” or “The majority of students…” are too vague.) </w:t>
            </w:r>
          </w:p>
        </w:tc>
        <w:tc>
          <w:tcPr>
            <w:tcW w:w="2515" w:type="dxa"/>
          </w:tcPr>
          <w:p w14:paraId="26898083" w14:textId="77777777" w:rsidR="00C70B66" w:rsidRPr="00046F38" w:rsidRDefault="00C70B66" w:rsidP="00C70B66">
            <w:pPr>
              <w:jc w:val="center"/>
              <w:rPr>
                <w:sz w:val="20"/>
              </w:rPr>
            </w:pPr>
          </w:p>
        </w:tc>
      </w:tr>
      <w:tr w:rsidR="00C70B66" w14:paraId="40BFAB59" w14:textId="77777777" w:rsidTr="00BA6FF8">
        <w:tc>
          <w:tcPr>
            <w:tcW w:w="11785" w:type="dxa"/>
          </w:tcPr>
          <w:p w14:paraId="0990EB74" w14:textId="77777777" w:rsidR="00C70B66" w:rsidRPr="009654DE" w:rsidRDefault="00C70B66" w:rsidP="00C70B66">
            <w:pPr>
              <w:pStyle w:val="ListParagraph"/>
              <w:numPr>
                <w:ilvl w:val="0"/>
                <w:numId w:val="14"/>
              </w:numPr>
              <w:rPr>
                <w:sz w:val="20"/>
              </w:rPr>
            </w:pPr>
            <w:r w:rsidRPr="009654DE">
              <w:rPr>
                <w:sz w:val="20"/>
              </w:rPr>
              <w:t>The data is aligned with each SLO that it supports and is reported out separately by SLO.</w:t>
            </w:r>
          </w:p>
        </w:tc>
        <w:tc>
          <w:tcPr>
            <w:tcW w:w="2515" w:type="dxa"/>
          </w:tcPr>
          <w:p w14:paraId="17A56FD3" w14:textId="77777777" w:rsidR="00C70B66" w:rsidRPr="00046F38" w:rsidRDefault="00C70B66" w:rsidP="00C70B66">
            <w:pPr>
              <w:jc w:val="center"/>
              <w:rPr>
                <w:sz w:val="20"/>
              </w:rPr>
            </w:pPr>
          </w:p>
        </w:tc>
      </w:tr>
      <w:tr w:rsidR="00C70B66" w14:paraId="0ADE3E14" w14:textId="77777777" w:rsidTr="00BA6FF8">
        <w:tc>
          <w:tcPr>
            <w:tcW w:w="11785" w:type="dxa"/>
          </w:tcPr>
          <w:p w14:paraId="141D49EE" w14:textId="77777777" w:rsidR="00C70B66" w:rsidRPr="009654DE" w:rsidRDefault="00FF2F14" w:rsidP="00C70B66">
            <w:pPr>
              <w:pStyle w:val="ListParagraph"/>
              <w:numPr>
                <w:ilvl w:val="0"/>
                <w:numId w:val="14"/>
              </w:numPr>
              <w:rPr>
                <w:sz w:val="20"/>
              </w:rPr>
            </w:pPr>
            <w:r w:rsidRPr="009654DE">
              <w:rPr>
                <w:sz w:val="20"/>
              </w:rPr>
              <w:t>Data is presented in a way that is easy for the reader to understand and there is explanation or context for any numbers shared so the reader understands what they are looking at.</w:t>
            </w:r>
          </w:p>
        </w:tc>
        <w:tc>
          <w:tcPr>
            <w:tcW w:w="2515" w:type="dxa"/>
          </w:tcPr>
          <w:p w14:paraId="42A9E5B6" w14:textId="77777777" w:rsidR="00C70B66" w:rsidRPr="00046F38" w:rsidRDefault="00C70B66" w:rsidP="00C70B66">
            <w:pPr>
              <w:jc w:val="center"/>
              <w:rPr>
                <w:sz w:val="20"/>
              </w:rPr>
            </w:pPr>
          </w:p>
        </w:tc>
      </w:tr>
      <w:tr w:rsidR="00C70B66" w14:paraId="3294454A" w14:textId="77777777" w:rsidTr="00BA6FF8">
        <w:tc>
          <w:tcPr>
            <w:tcW w:w="14300" w:type="dxa"/>
            <w:gridSpan w:val="2"/>
          </w:tcPr>
          <w:p w14:paraId="0B003945" w14:textId="77777777" w:rsidR="00C70B66" w:rsidRPr="009654DE" w:rsidRDefault="00C70B66" w:rsidP="000B5475">
            <w:pPr>
              <w:rPr>
                <w:sz w:val="20"/>
              </w:rPr>
            </w:pPr>
            <w:r w:rsidRPr="009654DE">
              <w:rPr>
                <w:sz w:val="20"/>
              </w:rPr>
              <w:t>Comments and/or recommendations:</w:t>
            </w:r>
          </w:p>
          <w:p w14:paraId="22A1C1CB" w14:textId="77777777" w:rsidR="00C70B66" w:rsidRPr="009654DE" w:rsidRDefault="00C70B66" w:rsidP="000B5475">
            <w:pPr>
              <w:rPr>
                <w:sz w:val="20"/>
              </w:rPr>
            </w:pPr>
          </w:p>
        </w:tc>
      </w:tr>
      <w:tr w:rsidR="00C70B66" w14:paraId="002BD967" w14:textId="77777777" w:rsidTr="00BA6FF8">
        <w:tc>
          <w:tcPr>
            <w:tcW w:w="11785" w:type="dxa"/>
          </w:tcPr>
          <w:p w14:paraId="7D32F8BA" w14:textId="77777777" w:rsidR="00C70B66" w:rsidRPr="001305F3" w:rsidRDefault="00C70B66" w:rsidP="000B5475">
            <w:pPr>
              <w:rPr>
                <w:b/>
                <w:color w:val="2F5496" w:themeColor="accent5" w:themeShade="BF"/>
              </w:rPr>
            </w:pPr>
            <w:r w:rsidRPr="001305F3">
              <w:rPr>
                <w:b/>
                <w:color w:val="2F5496" w:themeColor="accent5" w:themeShade="BF"/>
              </w:rPr>
              <w:t>5. Finding</w:t>
            </w:r>
            <w:r w:rsidR="00F44CA2">
              <w:rPr>
                <w:b/>
                <w:color w:val="2F5496" w:themeColor="accent5" w:themeShade="BF"/>
              </w:rPr>
              <w:t>s</w:t>
            </w:r>
            <w:r w:rsidRPr="001305F3">
              <w:rPr>
                <w:b/>
                <w:color w:val="2F5496" w:themeColor="accent5" w:themeShade="BF"/>
              </w:rPr>
              <w:t>: Interpretations and Conclusions</w:t>
            </w:r>
          </w:p>
        </w:tc>
        <w:tc>
          <w:tcPr>
            <w:tcW w:w="2515" w:type="dxa"/>
          </w:tcPr>
          <w:p w14:paraId="277CF766" w14:textId="77777777" w:rsidR="00C70B66" w:rsidRPr="001305F3" w:rsidRDefault="00C70B66" w:rsidP="000B5475">
            <w:pPr>
              <w:jc w:val="center"/>
              <w:rPr>
                <w:b/>
                <w:color w:val="2F5496" w:themeColor="accent5" w:themeShade="BF"/>
              </w:rPr>
            </w:pPr>
            <w:r w:rsidRPr="001305F3">
              <w:rPr>
                <w:b/>
                <w:color w:val="2F5496" w:themeColor="accent5" w:themeShade="BF"/>
              </w:rPr>
              <w:t>Rating</w:t>
            </w:r>
          </w:p>
        </w:tc>
      </w:tr>
      <w:tr w:rsidR="00BA4F3A" w14:paraId="763FBB4A" w14:textId="77777777" w:rsidTr="00BA6FF8">
        <w:tc>
          <w:tcPr>
            <w:tcW w:w="11785" w:type="dxa"/>
          </w:tcPr>
          <w:p w14:paraId="2D3FF3A0" w14:textId="77777777" w:rsidR="00BA4F3A" w:rsidRPr="009654DE" w:rsidRDefault="00BA4F3A" w:rsidP="00BA4F3A">
            <w:pPr>
              <w:pStyle w:val="ListParagraph"/>
              <w:numPr>
                <w:ilvl w:val="0"/>
                <w:numId w:val="16"/>
              </w:numPr>
              <w:rPr>
                <w:sz w:val="20"/>
              </w:rPr>
            </w:pPr>
            <w:r w:rsidRPr="009654DE">
              <w:rPr>
                <w:sz w:val="20"/>
              </w:rPr>
              <w:t xml:space="preserve">Findings </w:t>
            </w:r>
            <w:r w:rsidR="00242698">
              <w:rPr>
                <w:sz w:val="20"/>
              </w:rPr>
              <w:t xml:space="preserve">are specific to and </w:t>
            </w:r>
            <w:r w:rsidRPr="009654DE">
              <w:rPr>
                <w:sz w:val="20"/>
              </w:rPr>
              <w:t>address all data collected.</w:t>
            </w:r>
          </w:p>
        </w:tc>
        <w:tc>
          <w:tcPr>
            <w:tcW w:w="2515" w:type="dxa"/>
          </w:tcPr>
          <w:p w14:paraId="0972053D" w14:textId="77777777" w:rsidR="00BA4F3A" w:rsidRPr="00046F38" w:rsidRDefault="00BA4F3A" w:rsidP="00BA4F3A">
            <w:pPr>
              <w:jc w:val="center"/>
              <w:rPr>
                <w:sz w:val="20"/>
              </w:rPr>
            </w:pPr>
          </w:p>
        </w:tc>
      </w:tr>
      <w:tr w:rsidR="00BA4F3A" w14:paraId="38C0C125" w14:textId="77777777" w:rsidTr="00BA6FF8">
        <w:tc>
          <w:tcPr>
            <w:tcW w:w="11785" w:type="dxa"/>
          </w:tcPr>
          <w:p w14:paraId="060106B0" w14:textId="77777777" w:rsidR="00BA4F3A" w:rsidRPr="009654DE" w:rsidRDefault="00BA4F3A" w:rsidP="00BA4F3A">
            <w:pPr>
              <w:pStyle w:val="ListParagraph"/>
              <w:numPr>
                <w:ilvl w:val="0"/>
                <w:numId w:val="16"/>
              </w:numPr>
              <w:rPr>
                <w:sz w:val="20"/>
              </w:rPr>
            </w:pPr>
            <w:r w:rsidRPr="009654DE">
              <w:rPr>
                <w:sz w:val="20"/>
              </w:rPr>
              <w:t>Findings identify learning gaps and possible curricular or pedagogical remedies.</w:t>
            </w:r>
          </w:p>
        </w:tc>
        <w:tc>
          <w:tcPr>
            <w:tcW w:w="2515" w:type="dxa"/>
          </w:tcPr>
          <w:p w14:paraId="706A4AB4" w14:textId="77777777" w:rsidR="00BA4F3A" w:rsidRPr="00046F38" w:rsidRDefault="00BA4F3A" w:rsidP="00BA4F3A">
            <w:pPr>
              <w:jc w:val="center"/>
              <w:rPr>
                <w:sz w:val="20"/>
              </w:rPr>
            </w:pPr>
          </w:p>
        </w:tc>
      </w:tr>
      <w:tr w:rsidR="00BA4F3A" w14:paraId="0C1A81C7" w14:textId="77777777" w:rsidTr="00BA6FF8">
        <w:tc>
          <w:tcPr>
            <w:tcW w:w="11785" w:type="dxa"/>
          </w:tcPr>
          <w:p w14:paraId="55BE75B1" w14:textId="77777777" w:rsidR="00BA4F3A" w:rsidRPr="009654DE" w:rsidRDefault="00BA4F3A" w:rsidP="00BA4F3A">
            <w:pPr>
              <w:pStyle w:val="ListParagraph"/>
              <w:numPr>
                <w:ilvl w:val="0"/>
                <w:numId w:val="16"/>
              </w:numPr>
              <w:rPr>
                <w:sz w:val="20"/>
              </w:rPr>
            </w:pPr>
            <w:r w:rsidRPr="009654DE">
              <w:rPr>
                <w:sz w:val="20"/>
              </w:rPr>
              <w:t>Findings identify successful student achievement of outcomes and associated strengths of curriculum and pedagogy.</w:t>
            </w:r>
          </w:p>
        </w:tc>
        <w:tc>
          <w:tcPr>
            <w:tcW w:w="2515" w:type="dxa"/>
          </w:tcPr>
          <w:p w14:paraId="06B5EB8F" w14:textId="77777777" w:rsidR="00BA4F3A" w:rsidRPr="00046F38" w:rsidRDefault="00BA4F3A" w:rsidP="00BA4F3A">
            <w:pPr>
              <w:jc w:val="center"/>
              <w:rPr>
                <w:sz w:val="20"/>
              </w:rPr>
            </w:pPr>
          </w:p>
        </w:tc>
      </w:tr>
      <w:tr w:rsidR="00C70B66" w14:paraId="783B8973" w14:textId="77777777" w:rsidTr="00BA6FF8">
        <w:tc>
          <w:tcPr>
            <w:tcW w:w="14300" w:type="dxa"/>
            <w:gridSpan w:val="2"/>
          </w:tcPr>
          <w:p w14:paraId="6FF164F0" w14:textId="77777777" w:rsidR="00C70B66" w:rsidRPr="009654DE" w:rsidRDefault="00C70B66" w:rsidP="000B5475">
            <w:pPr>
              <w:rPr>
                <w:sz w:val="20"/>
              </w:rPr>
            </w:pPr>
            <w:r w:rsidRPr="009654DE">
              <w:rPr>
                <w:sz w:val="20"/>
              </w:rPr>
              <w:t>Comments and/or recommendations:</w:t>
            </w:r>
          </w:p>
          <w:p w14:paraId="1ABA4D7E" w14:textId="77777777" w:rsidR="00C70B66" w:rsidRPr="009654DE" w:rsidRDefault="00C70B66" w:rsidP="000B5475">
            <w:pPr>
              <w:rPr>
                <w:sz w:val="20"/>
              </w:rPr>
            </w:pPr>
          </w:p>
        </w:tc>
      </w:tr>
      <w:tr w:rsidR="00DB739C" w14:paraId="222AB59E" w14:textId="77777777" w:rsidTr="00BA6FF8">
        <w:tc>
          <w:tcPr>
            <w:tcW w:w="11785" w:type="dxa"/>
          </w:tcPr>
          <w:p w14:paraId="1F150733" w14:textId="77777777" w:rsidR="00DB739C" w:rsidRPr="001305F3" w:rsidRDefault="00DB739C" w:rsidP="000B5475">
            <w:pPr>
              <w:rPr>
                <w:b/>
                <w:color w:val="2F5496" w:themeColor="accent5" w:themeShade="BF"/>
              </w:rPr>
            </w:pPr>
            <w:r w:rsidRPr="001305F3">
              <w:rPr>
                <w:b/>
                <w:color w:val="2F5496" w:themeColor="accent5" w:themeShade="BF"/>
              </w:rPr>
              <w:t xml:space="preserve">6. Closing the Loop: Dissemination and Use of </w:t>
            </w:r>
            <w:r w:rsidRPr="001305F3">
              <w:rPr>
                <w:b/>
                <w:color w:val="2F5496" w:themeColor="accent5" w:themeShade="BF"/>
                <w:u w:val="single"/>
              </w:rPr>
              <w:t>Current</w:t>
            </w:r>
            <w:r w:rsidRPr="001305F3">
              <w:rPr>
                <w:b/>
                <w:color w:val="2F5496" w:themeColor="accent5" w:themeShade="BF"/>
              </w:rPr>
              <w:t xml:space="preserve"> Assessment Findings</w:t>
            </w:r>
          </w:p>
        </w:tc>
        <w:tc>
          <w:tcPr>
            <w:tcW w:w="2515" w:type="dxa"/>
          </w:tcPr>
          <w:p w14:paraId="04C20446" w14:textId="77777777" w:rsidR="00DB739C" w:rsidRPr="001305F3" w:rsidRDefault="00DB739C" w:rsidP="000B5475">
            <w:pPr>
              <w:jc w:val="center"/>
              <w:rPr>
                <w:b/>
                <w:color w:val="2F5496" w:themeColor="accent5" w:themeShade="BF"/>
              </w:rPr>
            </w:pPr>
            <w:r w:rsidRPr="001305F3">
              <w:rPr>
                <w:b/>
                <w:color w:val="2F5496" w:themeColor="accent5" w:themeShade="BF"/>
              </w:rPr>
              <w:t>Rating</w:t>
            </w:r>
          </w:p>
        </w:tc>
      </w:tr>
      <w:tr w:rsidR="00BA4F3A" w14:paraId="7C899158" w14:textId="77777777" w:rsidTr="00BA6FF8">
        <w:tc>
          <w:tcPr>
            <w:tcW w:w="11785" w:type="dxa"/>
          </w:tcPr>
          <w:p w14:paraId="5B862D1D" w14:textId="77777777" w:rsidR="00BA4F3A" w:rsidRPr="009654DE" w:rsidRDefault="00BA4F3A" w:rsidP="00BA4F3A">
            <w:pPr>
              <w:pStyle w:val="ListParagraph"/>
              <w:numPr>
                <w:ilvl w:val="0"/>
                <w:numId w:val="18"/>
              </w:numPr>
              <w:rPr>
                <w:sz w:val="20"/>
              </w:rPr>
            </w:pPr>
            <w:r w:rsidRPr="009654DE">
              <w:rPr>
                <w:sz w:val="20"/>
              </w:rPr>
              <w:t xml:space="preserve">Program faculty have </w:t>
            </w:r>
            <w:r w:rsidRPr="009654DE">
              <w:rPr>
                <w:rFonts w:cstheme="minorHAnsi"/>
                <w:sz w:val="20"/>
                <w:szCs w:val="24"/>
              </w:rPr>
              <w:t>shared and discuss</w:t>
            </w:r>
            <w:r w:rsidR="00242698">
              <w:rPr>
                <w:rFonts w:cstheme="minorHAnsi"/>
                <w:sz w:val="20"/>
                <w:szCs w:val="24"/>
              </w:rPr>
              <w:t>ed</w:t>
            </w:r>
            <w:r w:rsidRPr="009654DE">
              <w:rPr>
                <w:rFonts w:cstheme="minorHAnsi"/>
                <w:sz w:val="20"/>
                <w:szCs w:val="24"/>
              </w:rPr>
              <w:t xml:space="preserve"> these results and findings from this cycle of assessment with each other.</w:t>
            </w:r>
          </w:p>
        </w:tc>
        <w:tc>
          <w:tcPr>
            <w:tcW w:w="2515" w:type="dxa"/>
          </w:tcPr>
          <w:p w14:paraId="457D8CA6" w14:textId="77777777" w:rsidR="00BA4F3A" w:rsidRPr="00046F38" w:rsidRDefault="00BA4F3A" w:rsidP="00BA4F3A">
            <w:pPr>
              <w:jc w:val="center"/>
              <w:rPr>
                <w:sz w:val="20"/>
              </w:rPr>
            </w:pPr>
          </w:p>
        </w:tc>
      </w:tr>
      <w:tr w:rsidR="00BA4F3A" w14:paraId="6B9AC516" w14:textId="77777777" w:rsidTr="00BA6FF8">
        <w:tc>
          <w:tcPr>
            <w:tcW w:w="11785" w:type="dxa"/>
          </w:tcPr>
          <w:p w14:paraId="4499E364" w14:textId="77777777" w:rsidR="00BA4F3A" w:rsidRPr="009654DE" w:rsidRDefault="00BA4F3A" w:rsidP="00BA4F3A">
            <w:pPr>
              <w:pStyle w:val="ListParagraph"/>
              <w:numPr>
                <w:ilvl w:val="0"/>
                <w:numId w:val="18"/>
              </w:numPr>
              <w:rPr>
                <w:sz w:val="20"/>
              </w:rPr>
            </w:pPr>
            <w:r w:rsidRPr="009654DE">
              <w:rPr>
                <w:sz w:val="20"/>
              </w:rPr>
              <w:t>Program faculty have identified how they are using these findings to improve teaching and learning in their program.</w:t>
            </w:r>
          </w:p>
        </w:tc>
        <w:tc>
          <w:tcPr>
            <w:tcW w:w="2515" w:type="dxa"/>
          </w:tcPr>
          <w:p w14:paraId="5EB54812" w14:textId="77777777" w:rsidR="00BA4F3A" w:rsidRPr="00046F38" w:rsidRDefault="00BA4F3A" w:rsidP="00BA4F3A">
            <w:pPr>
              <w:jc w:val="center"/>
              <w:rPr>
                <w:sz w:val="20"/>
              </w:rPr>
            </w:pPr>
          </w:p>
        </w:tc>
      </w:tr>
      <w:tr w:rsidR="00BA4F3A" w14:paraId="648E4695" w14:textId="77777777" w:rsidTr="00BA6FF8">
        <w:tc>
          <w:tcPr>
            <w:tcW w:w="11785" w:type="dxa"/>
          </w:tcPr>
          <w:p w14:paraId="2B87C212" w14:textId="77777777" w:rsidR="00BA4F3A" w:rsidRPr="009654DE" w:rsidRDefault="00BA4F3A" w:rsidP="00BA4F3A">
            <w:pPr>
              <w:pStyle w:val="ListParagraph"/>
              <w:numPr>
                <w:ilvl w:val="0"/>
                <w:numId w:val="18"/>
              </w:numPr>
              <w:rPr>
                <w:sz w:val="20"/>
              </w:rPr>
            </w:pPr>
            <w:r w:rsidRPr="009654DE">
              <w:rPr>
                <w:sz w:val="20"/>
              </w:rPr>
              <w:t>The actions identified are supported by the findings.</w:t>
            </w:r>
          </w:p>
        </w:tc>
        <w:tc>
          <w:tcPr>
            <w:tcW w:w="2515" w:type="dxa"/>
          </w:tcPr>
          <w:p w14:paraId="122D07BB" w14:textId="77777777" w:rsidR="00BA4F3A" w:rsidRPr="00046F38" w:rsidRDefault="00BA4F3A" w:rsidP="00BA4F3A">
            <w:pPr>
              <w:jc w:val="center"/>
              <w:rPr>
                <w:sz w:val="20"/>
              </w:rPr>
            </w:pPr>
          </w:p>
        </w:tc>
      </w:tr>
      <w:tr w:rsidR="009654DE" w14:paraId="2096AF89" w14:textId="77777777" w:rsidTr="00BA6FF8">
        <w:tc>
          <w:tcPr>
            <w:tcW w:w="14300" w:type="dxa"/>
            <w:gridSpan w:val="2"/>
          </w:tcPr>
          <w:p w14:paraId="41369E11" w14:textId="77777777" w:rsidR="009654DE" w:rsidRPr="009654DE" w:rsidRDefault="009654DE" w:rsidP="009654DE">
            <w:pPr>
              <w:rPr>
                <w:sz w:val="20"/>
              </w:rPr>
            </w:pPr>
            <w:r w:rsidRPr="009654DE">
              <w:rPr>
                <w:sz w:val="20"/>
              </w:rPr>
              <w:t>Comments and/or recommendations:</w:t>
            </w:r>
          </w:p>
          <w:p w14:paraId="675AC724" w14:textId="77777777" w:rsidR="009654DE" w:rsidRPr="009654DE" w:rsidRDefault="009654DE" w:rsidP="009654DE">
            <w:pPr>
              <w:rPr>
                <w:sz w:val="20"/>
              </w:rPr>
            </w:pPr>
          </w:p>
        </w:tc>
      </w:tr>
      <w:tr w:rsidR="00DB739C" w14:paraId="3D33CAFB" w14:textId="77777777" w:rsidTr="00BA6FF8">
        <w:tc>
          <w:tcPr>
            <w:tcW w:w="11785" w:type="dxa"/>
          </w:tcPr>
          <w:p w14:paraId="4FD8CD1F" w14:textId="77777777" w:rsidR="00DB739C" w:rsidRPr="001305F3" w:rsidRDefault="00DB739C" w:rsidP="000B5475">
            <w:pPr>
              <w:rPr>
                <w:b/>
                <w:color w:val="2F5496" w:themeColor="accent5" w:themeShade="BF"/>
              </w:rPr>
            </w:pPr>
            <w:r w:rsidRPr="001305F3">
              <w:rPr>
                <w:b/>
                <w:color w:val="2F5496" w:themeColor="accent5" w:themeShade="BF"/>
              </w:rPr>
              <w:t xml:space="preserve">7. Closing the Loop: Dissemination and Use of </w:t>
            </w:r>
            <w:r w:rsidRPr="001305F3">
              <w:rPr>
                <w:b/>
                <w:color w:val="2F5496" w:themeColor="accent5" w:themeShade="BF"/>
                <w:u w:val="single"/>
              </w:rPr>
              <w:t>Previous</w:t>
            </w:r>
            <w:r w:rsidRPr="001305F3">
              <w:rPr>
                <w:b/>
                <w:color w:val="2F5496" w:themeColor="accent5" w:themeShade="BF"/>
              </w:rPr>
              <w:t xml:space="preserve"> Assessment Findings</w:t>
            </w:r>
          </w:p>
        </w:tc>
        <w:tc>
          <w:tcPr>
            <w:tcW w:w="2515" w:type="dxa"/>
          </w:tcPr>
          <w:p w14:paraId="4B41FA80" w14:textId="77777777" w:rsidR="00DB739C" w:rsidRPr="001305F3" w:rsidRDefault="00DB739C" w:rsidP="000B5475">
            <w:pPr>
              <w:jc w:val="center"/>
              <w:rPr>
                <w:b/>
                <w:color w:val="2F5496" w:themeColor="accent5" w:themeShade="BF"/>
              </w:rPr>
            </w:pPr>
            <w:r w:rsidRPr="001305F3">
              <w:rPr>
                <w:b/>
                <w:color w:val="2F5496" w:themeColor="accent5" w:themeShade="BF"/>
              </w:rPr>
              <w:t>Rating</w:t>
            </w:r>
          </w:p>
        </w:tc>
      </w:tr>
      <w:tr w:rsidR="00BA4F3A" w14:paraId="705D3DBB" w14:textId="77777777" w:rsidTr="00BA6FF8">
        <w:tc>
          <w:tcPr>
            <w:tcW w:w="11785" w:type="dxa"/>
          </w:tcPr>
          <w:p w14:paraId="06FEC7CB" w14:textId="77777777" w:rsidR="00BA4F3A" w:rsidRPr="009654DE" w:rsidRDefault="00BA4F3A" w:rsidP="00BA4F3A">
            <w:pPr>
              <w:pStyle w:val="ListParagraph"/>
              <w:numPr>
                <w:ilvl w:val="0"/>
                <w:numId w:val="19"/>
              </w:numPr>
              <w:rPr>
                <w:sz w:val="20"/>
              </w:rPr>
            </w:pPr>
            <w:r w:rsidRPr="009654DE">
              <w:rPr>
                <w:sz w:val="20"/>
              </w:rPr>
              <w:t>Program faculty</w:t>
            </w:r>
            <w:r w:rsidR="00622866">
              <w:rPr>
                <w:sz w:val="20"/>
              </w:rPr>
              <w:t xml:space="preserve"> identified and</w:t>
            </w:r>
            <w:r w:rsidRPr="009654DE">
              <w:rPr>
                <w:sz w:val="20"/>
              </w:rPr>
              <w:t xml:space="preserve"> implemented a change based on assessment findings</w:t>
            </w:r>
            <w:r w:rsidR="00E5284F">
              <w:rPr>
                <w:sz w:val="20"/>
              </w:rPr>
              <w:t>.</w:t>
            </w:r>
            <w:r w:rsidRPr="009654DE">
              <w:rPr>
                <w:sz w:val="20"/>
              </w:rPr>
              <w:t xml:space="preserve"> </w:t>
            </w:r>
          </w:p>
        </w:tc>
        <w:tc>
          <w:tcPr>
            <w:tcW w:w="2515" w:type="dxa"/>
          </w:tcPr>
          <w:p w14:paraId="77436A98" w14:textId="77777777" w:rsidR="00BA4F3A" w:rsidRPr="00046F38" w:rsidRDefault="00BA4F3A" w:rsidP="00BA4F3A">
            <w:pPr>
              <w:jc w:val="center"/>
              <w:rPr>
                <w:sz w:val="20"/>
              </w:rPr>
            </w:pPr>
          </w:p>
        </w:tc>
      </w:tr>
      <w:tr w:rsidR="00E5284F" w14:paraId="692874D6" w14:textId="77777777" w:rsidTr="00BA6FF8">
        <w:tc>
          <w:tcPr>
            <w:tcW w:w="11785" w:type="dxa"/>
          </w:tcPr>
          <w:p w14:paraId="44161A28" w14:textId="77777777" w:rsidR="00E5284F" w:rsidRPr="009654DE" w:rsidRDefault="00E5284F" w:rsidP="00BA4F3A">
            <w:pPr>
              <w:pStyle w:val="ListParagraph"/>
              <w:numPr>
                <w:ilvl w:val="0"/>
                <w:numId w:val="19"/>
              </w:numPr>
              <w:rPr>
                <w:sz w:val="20"/>
              </w:rPr>
            </w:pPr>
            <w:r>
              <w:rPr>
                <w:sz w:val="20"/>
              </w:rPr>
              <w:t>Program faculty have assessed the change and</w:t>
            </w:r>
            <w:r w:rsidRPr="009654DE">
              <w:rPr>
                <w:sz w:val="20"/>
              </w:rPr>
              <w:t xml:space="preserve"> have learned more about student learning, their program/curriculum, and/or pedagogy as a result.</w:t>
            </w:r>
          </w:p>
        </w:tc>
        <w:tc>
          <w:tcPr>
            <w:tcW w:w="2515" w:type="dxa"/>
          </w:tcPr>
          <w:p w14:paraId="1EF647AD" w14:textId="77777777" w:rsidR="00E5284F" w:rsidRPr="00046F38" w:rsidRDefault="00E5284F" w:rsidP="00BA4F3A">
            <w:pPr>
              <w:jc w:val="center"/>
              <w:rPr>
                <w:sz w:val="20"/>
              </w:rPr>
            </w:pPr>
          </w:p>
        </w:tc>
      </w:tr>
      <w:tr w:rsidR="00BA4F3A" w14:paraId="7414F5F8" w14:textId="77777777" w:rsidTr="00BA6FF8">
        <w:tc>
          <w:tcPr>
            <w:tcW w:w="11785" w:type="dxa"/>
          </w:tcPr>
          <w:p w14:paraId="50173066" w14:textId="77777777" w:rsidR="00BA4F3A" w:rsidRPr="009654DE" w:rsidRDefault="00BA4F3A" w:rsidP="00BA4F3A">
            <w:pPr>
              <w:pStyle w:val="ListParagraph"/>
              <w:numPr>
                <w:ilvl w:val="0"/>
                <w:numId w:val="19"/>
              </w:numPr>
              <w:rPr>
                <w:sz w:val="20"/>
              </w:rPr>
            </w:pPr>
            <w:r w:rsidRPr="009654DE">
              <w:rPr>
                <w:sz w:val="20"/>
              </w:rPr>
              <w:t>Program faculty have identified how they plan to use this information moving forward.</w:t>
            </w:r>
          </w:p>
        </w:tc>
        <w:tc>
          <w:tcPr>
            <w:tcW w:w="2515" w:type="dxa"/>
          </w:tcPr>
          <w:p w14:paraId="24A8A028" w14:textId="77777777" w:rsidR="00BA4F3A" w:rsidRPr="00046F38" w:rsidRDefault="00BA4F3A" w:rsidP="00BA4F3A">
            <w:pPr>
              <w:jc w:val="center"/>
              <w:rPr>
                <w:sz w:val="20"/>
              </w:rPr>
            </w:pPr>
          </w:p>
        </w:tc>
      </w:tr>
      <w:tr w:rsidR="00DB739C" w14:paraId="3D6906B5" w14:textId="77777777" w:rsidTr="00BA6FF8">
        <w:tc>
          <w:tcPr>
            <w:tcW w:w="14300" w:type="dxa"/>
            <w:gridSpan w:val="2"/>
          </w:tcPr>
          <w:p w14:paraId="632D2A52" w14:textId="77777777" w:rsidR="00DB739C" w:rsidRPr="009654DE" w:rsidRDefault="00DB739C" w:rsidP="000B5475">
            <w:pPr>
              <w:rPr>
                <w:sz w:val="20"/>
              </w:rPr>
            </w:pPr>
            <w:r w:rsidRPr="009654DE">
              <w:rPr>
                <w:sz w:val="20"/>
              </w:rPr>
              <w:t>Comments and/or recommendations:</w:t>
            </w:r>
          </w:p>
          <w:p w14:paraId="56BD761C" w14:textId="77777777" w:rsidR="00DB739C" w:rsidRPr="009654DE" w:rsidRDefault="00DB739C" w:rsidP="000B5475">
            <w:pPr>
              <w:rPr>
                <w:sz w:val="20"/>
              </w:rPr>
            </w:pPr>
          </w:p>
        </w:tc>
      </w:tr>
    </w:tbl>
    <w:p w14:paraId="0133353C" w14:textId="77777777" w:rsidR="00DB739C" w:rsidRDefault="00DB739C"/>
    <w:p w14:paraId="248DEC5B" w14:textId="77777777" w:rsidR="001305F3" w:rsidRDefault="001305F3">
      <w:r w:rsidRPr="001305F3">
        <w:rPr>
          <w:b/>
          <w:color w:val="2F5496" w:themeColor="accent5" w:themeShade="BF"/>
        </w:rPr>
        <w:t>Additional Comments or Recommendations:</w:t>
      </w:r>
    </w:p>
    <w:sectPr w:rsidR="001305F3" w:rsidSect="00F45140">
      <w:footerReference w:type="default" r:id="rId9"/>
      <w:pgSz w:w="15840" w:h="12240" w:orient="landscape"/>
      <w:pgMar w:top="720" w:right="720" w:bottom="540" w:left="810" w:header="720" w:footer="5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33762" w14:textId="77777777" w:rsidR="00C01C4E" w:rsidRDefault="00C01C4E" w:rsidP="000313B0">
      <w:r>
        <w:separator/>
      </w:r>
    </w:p>
  </w:endnote>
  <w:endnote w:type="continuationSeparator" w:id="0">
    <w:p w14:paraId="371CD4CC" w14:textId="77777777" w:rsidR="00C01C4E" w:rsidRDefault="00C01C4E" w:rsidP="0003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842300"/>
      <w:docPartObj>
        <w:docPartGallery w:val="Page Numbers (Bottom of Page)"/>
        <w:docPartUnique/>
      </w:docPartObj>
    </w:sdtPr>
    <w:sdtEndPr>
      <w:rPr>
        <w:noProof/>
      </w:rPr>
    </w:sdtEndPr>
    <w:sdtContent>
      <w:p w14:paraId="404BE392" w14:textId="77777777" w:rsidR="00046F38" w:rsidRDefault="00046F38">
        <w:pPr>
          <w:pStyle w:val="Footer"/>
          <w:jc w:val="right"/>
        </w:pPr>
        <w:r w:rsidRPr="00046F38">
          <w:rPr>
            <w:sz w:val="16"/>
          </w:rPr>
          <w:fldChar w:fldCharType="begin"/>
        </w:r>
        <w:r w:rsidRPr="00046F38">
          <w:rPr>
            <w:sz w:val="16"/>
          </w:rPr>
          <w:instrText xml:space="preserve"> PAGE   \* MERGEFORMAT </w:instrText>
        </w:r>
        <w:r w:rsidRPr="00046F38">
          <w:rPr>
            <w:sz w:val="16"/>
          </w:rPr>
          <w:fldChar w:fldCharType="separate"/>
        </w:r>
        <w:r w:rsidR="00622866">
          <w:rPr>
            <w:noProof/>
            <w:sz w:val="16"/>
          </w:rPr>
          <w:t>1</w:t>
        </w:r>
        <w:r w:rsidRPr="00046F38">
          <w:rPr>
            <w:noProof/>
            <w:sz w:val="16"/>
          </w:rPr>
          <w:fldChar w:fldCharType="end"/>
        </w:r>
      </w:p>
    </w:sdtContent>
  </w:sdt>
  <w:p w14:paraId="3A66309B" w14:textId="77777777" w:rsidR="00046F38" w:rsidRDefault="0004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70002" w14:textId="77777777" w:rsidR="00C01C4E" w:rsidRDefault="00C01C4E" w:rsidP="000313B0">
      <w:r>
        <w:separator/>
      </w:r>
    </w:p>
  </w:footnote>
  <w:footnote w:type="continuationSeparator" w:id="0">
    <w:p w14:paraId="5B980B7D" w14:textId="77777777" w:rsidR="00C01C4E" w:rsidRDefault="00C01C4E" w:rsidP="0003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333D7"/>
    <w:multiLevelType w:val="hybridMultilevel"/>
    <w:tmpl w:val="0848FFFC"/>
    <w:lvl w:ilvl="0" w:tplc="04090019">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1" w15:restartNumberingAfterBreak="0">
    <w:nsid w:val="0E9C2AB9"/>
    <w:multiLevelType w:val="hybridMultilevel"/>
    <w:tmpl w:val="120A4AB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36F24"/>
    <w:multiLevelType w:val="hybridMultilevel"/>
    <w:tmpl w:val="F42031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13E93"/>
    <w:multiLevelType w:val="hybridMultilevel"/>
    <w:tmpl w:val="3F483474"/>
    <w:lvl w:ilvl="0" w:tplc="CE587EEE">
      <w:start w:val="1"/>
      <w:numFmt w:val="decimal"/>
      <w:lvlText w:val="%1."/>
      <w:lvlJc w:val="left"/>
      <w:pPr>
        <w:ind w:left="360" w:hanging="360"/>
      </w:pPr>
      <w:rPr>
        <w:rFonts w:asciiTheme="minorHAnsi" w:eastAsia="Times New Roman" w:hAnsiTheme="minorHAnsi" w:cstheme="minorBid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834DF6"/>
    <w:multiLevelType w:val="hybridMultilevel"/>
    <w:tmpl w:val="3CA4B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06F50"/>
    <w:multiLevelType w:val="hybridMultilevel"/>
    <w:tmpl w:val="92D6841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A3378"/>
    <w:multiLevelType w:val="hybridMultilevel"/>
    <w:tmpl w:val="B47A54D2"/>
    <w:lvl w:ilvl="0" w:tplc="B972D17A">
      <w:start w:val="1"/>
      <w:numFmt w:val="bullet"/>
      <w:lvlText w:val=""/>
      <w:lvlJc w:val="left"/>
      <w:pPr>
        <w:ind w:left="720" w:hanging="360"/>
      </w:pPr>
      <w:rPr>
        <w:rFonts w:ascii="Wingdings" w:hAnsi="Wingdings" w:hint="default"/>
        <w:color w:val="2F5496" w:themeColor="accent5" w:themeShade="BF"/>
        <w:sz w:val="20"/>
      </w:rPr>
    </w:lvl>
    <w:lvl w:ilvl="1" w:tplc="B972D17A">
      <w:start w:val="1"/>
      <w:numFmt w:val="bullet"/>
      <w:lvlText w:val=""/>
      <w:lvlJc w:val="left"/>
      <w:pPr>
        <w:ind w:left="1440" w:hanging="360"/>
      </w:pPr>
      <w:rPr>
        <w:rFonts w:ascii="Wingdings" w:hAnsi="Wingdings" w:hint="default"/>
        <w:color w:val="2F5496" w:themeColor="accent5" w:themeShade="BF"/>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44521"/>
    <w:multiLevelType w:val="hybridMultilevel"/>
    <w:tmpl w:val="92D6841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C5CE8"/>
    <w:multiLevelType w:val="hybridMultilevel"/>
    <w:tmpl w:val="FC6C528C"/>
    <w:lvl w:ilvl="0" w:tplc="B972D17A">
      <w:start w:val="1"/>
      <w:numFmt w:val="bullet"/>
      <w:lvlText w:val=""/>
      <w:lvlJc w:val="left"/>
      <w:pPr>
        <w:ind w:left="720" w:hanging="360"/>
      </w:pPr>
      <w:rPr>
        <w:rFonts w:ascii="Wingdings" w:hAnsi="Wingdings" w:hint="default"/>
        <w:color w:val="2F5496" w:themeColor="accent5" w:themeShade="BF"/>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14061"/>
    <w:multiLevelType w:val="hybridMultilevel"/>
    <w:tmpl w:val="120A4AB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E5EC9"/>
    <w:multiLevelType w:val="hybridMultilevel"/>
    <w:tmpl w:val="3CA4B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356E8"/>
    <w:multiLevelType w:val="hybridMultilevel"/>
    <w:tmpl w:val="7B90C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44F95"/>
    <w:multiLevelType w:val="hybridMultilevel"/>
    <w:tmpl w:val="7D9E9F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21B07"/>
    <w:multiLevelType w:val="hybridMultilevel"/>
    <w:tmpl w:val="0848FFFC"/>
    <w:lvl w:ilvl="0" w:tplc="04090019">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14" w15:restartNumberingAfterBreak="0">
    <w:nsid w:val="5DD33D96"/>
    <w:multiLevelType w:val="hybridMultilevel"/>
    <w:tmpl w:val="BD0E64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F0878"/>
    <w:multiLevelType w:val="hybridMultilevel"/>
    <w:tmpl w:val="0D76A40C"/>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6" w15:restartNumberingAfterBreak="0">
    <w:nsid w:val="6D8E1E49"/>
    <w:multiLevelType w:val="hybridMultilevel"/>
    <w:tmpl w:val="7D9E9F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9A4A64"/>
    <w:multiLevelType w:val="hybridMultilevel"/>
    <w:tmpl w:val="392A88E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949AF"/>
    <w:multiLevelType w:val="hybridMultilevel"/>
    <w:tmpl w:val="120A4AB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1"/>
  </w:num>
  <w:num w:numId="5">
    <w:abstractNumId w:val="0"/>
  </w:num>
  <w:num w:numId="6">
    <w:abstractNumId w:val="13"/>
  </w:num>
  <w:num w:numId="7">
    <w:abstractNumId w:val="14"/>
  </w:num>
  <w:num w:numId="8">
    <w:abstractNumId w:val="12"/>
  </w:num>
  <w:num w:numId="9">
    <w:abstractNumId w:val="16"/>
  </w:num>
  <w:num w:numId="10">
    <w:abstractNumId w:val="2"/>
  </w:num>
  <w:num w:numId="11">
    <w:abstractNumId w:val="17"/>
  </w:num>
  <w:num w:numId="12">
    <w:abstractNumId w:val="4"/>
  </w:num>
  <w:num w:numId="13">
    <w:abstractNumId w:val="10"/>
  </w:num>
  <w:num w:numId="14">
    <w:abstractNumId w:val="7"/>
  </w:num>
  <w:num w:numId="15">
    <w:abstractNumId w:val="5"/>
  </w:num>
  <w:num w:numId="16">
    <w:abstractNumId w:val="18"/>
  </w:num>
  <w:num w:numId="17">
    <w:abstractNumId w:val="15"/>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3F9"/>
    <w:rsid w:val="000313B0"/>
    <w:rsid w:val="00041D87"/>
    <w:rsid w:val="00046F38"/>
    <w:rsid w:val="0007624F"/>
    <w:rsid w:val="00121880"/>
    <w:rsid w:val="001305F3"/>
    <w:rsid w:val="00135FBD"/>
    <w:rsid w:val="001956F1"/>
    <w:rsid w:val="00242698"/>
    <w:rsid w:val="00271660"/>
    <w:rsid w:val="002B1485"/>
    <w:rsid w:val="002F17C0"/>
    <w:rsid w:val="00325313"/>
    <w:rsid w:val="003642FB"/>
    <w:rsid w:val="003C6585"/>
    <w:rsid w:val="004A268D"/>
    <w:rsid w:val="004B3678"/>
    <w:rsid w:val="005006C0"/>
    <w:rsid w:val="005069E4"/>
    <w:rsid w:val="00622866"/>
    <w:rsid w:val="006F08AE"/>
    <w:rsid w:val="00700431"/>
    <w:rsid w:val="00732FCF"/>
    <w:rsid w:val="007967F0"/>
    <w:rsid w:val="007F006D"/>
    <w:rsid w:val="00877463"/>
    <w:rsid w:val="00896BD9"/>
    <w:rsid w:val="008D538D"/>
    <w:rsid w:val="009433FD"/>
    <w:rsid w:val="0096282C"/>
    <w:rsid w:val="009654DE"/>
    <w:rsid w:val="009B177C"/>
    <w:rsid w:val="00A066DD"/>
    <w:rsid w:val="00A12953"/>
    <w:rsid w:val="00A32DA1"/>
    <w:rsid w:val="00AB63AC"/>
    <w:rsid w:val="00AD3CD1"/>
    <w:rsid w:val="00BA4F3A"/>
    <w:rsid w:val="00BA6FF8"/>
    <w:rsid w:val="00C01C4E"/>
    <w:rsid w:val="00C111A0"/>
    <w:rsid w:val="00C17732"/>
    <w:rsid w:val="00C2556E"/>
    <w:rsid w:val="00C673F9"/>
    <w:rsid w:val="00C70B66"/>
    <w:rsid w:val="00CA5065"/>
    <w:rsid w:val="00D06204"/>
    <w:rsid w:val="00D37580"/>
    <w:rsid w:val="00DA4083"/>
    <w:rsid w:val="00DB739C"/>
    <w:rsid w:val="00E040D2"/>
    <w:rsid w:val="00E5284F"/>
    <w:rsid w:val="00EB1C82"/>
    <w:rsid w:val="00EF1539"/>
    <w:rsid w:val="00F24F5C"/>
    <w:rsid w:val="00F403F0"/>
    <w:rsid w:val="00F44CA2"/>
    <w:rsid w:val="00F45140"/>
    <w:rsid w:val="00FD46F0"/>
    <w:rsid w:val="00FE7DE4"/>
    <w:rsid w:val="00FF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64131"/>
  <w15:chartTrackingRefBased/>
  <w15:docId w15:val="{F3335A6A-0AFD-4F80-AF4E-783F0630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BD9"/>
    <w:pPr>
      <w:ind w:left="720"/>
      <w:contextualSpacing/>
    </w:pPr>
  </w:style>
  <w:style w:type="table" w:customStyle="1" w:styleId="TableGrid1">
    <w:name w:val="Table Grid1"/>
    <w:basedOn w:val="TableNormal"/>
    <w:next w:val="TableGrid"/>
    <w:uiPriority w:val="59"/>
    <w:rsid w:val="00896BD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3B0"/>
    <w:pPr>
      <w:tabs>
        <w:tab w:val="center" w:pos="4680"/>
        <w:tab w:val="right" w:pos="9360"/>
      </w:tabs>
    </w:pPr>
  </w:style>
  <w:style w:type="character" w:customStyle="1" w:styleId="HeaderChar">
    <w:name w:val="Header Char"/>
    <w:basedOn w:val="DefaultParagraphFont"/>
    <w:link w:val="Header"/>
    <w:uiPriority w:val="99"/>
    <w:rsid w:val="000313B0"/>
  </w:style>
  <w:style w:type="paragraph" w:styleId="Footer">
    <w:name w:val="footer"/>
    <w:basedOn w:val="Normal"/>
    <w:link w:val="FooterChar"/>
    <w:uiPriority w:val="99"/>
    <w:unhideWhenUsed/>
    <w:rsid w:val="000313B0"/>
    <w:pPr>
      <w:tabs>
        <w:tab w:val="center" w:pos="4680"/>
        <w:tab w:val="right" w:pos="9360"/>
      </w:tabs>
    </w:pPr>
  </w:style>
  <w:style w:type="character" w:customStyle="1" w:styleId="FooterChar">
    <w:name w:val="Footer Char"/>
    <w:basedOn w:val="DefaultParagraphFont"/>
    <w:link w:val="Footer"/>
    <w:uiPriority w:val="99"/>
    <w:rsid w:val="000313B0"/>
  </w:style>
  <w:style w:type="character" w:styleId="Hyperlink">
    <w:name w:val="Hyperlink"/>
    <w:basedOn w:val="DefaultParagraphFont"/>
    <w:uiPriority w:val="99"/>
    <w:unhideWhenUsed/>
    <w:rsid w:val="00D062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67362-F328-49D2-A1C5-00E045FC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Cope</dc:creator>
  <cp:keywords/>
  <dc:description/>
  <cp:lastModifiedBy>Marissa</cp:lastModifiedBy>
  <cp:revision>3</cp:revision>
  <dcterms:created xsi:type="dcterms:W3CDTF">2021-06-14T17:23:00Z</dcterms:created>
  <dcterms:modified xsi:type="dcterms:W3CDTF">2021-06-14T17:23:00Z</dcterms:modified>
</cp:coreProperties>
</file>